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outlineLvl w:val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附件1：</w:t>
      </w:r>
    </w:p>
    <w:p>
      <w:pPr>
        <w:widowControl/>
        <w:shd w:val="clear" w:color="auto" w:fill="FFFFFF"/>
        <w:spacing w:line="700" w:lineRule="exact"/>
        <w:jc w:val="center"/>
        <w:rPr>
          <w:rFonts w:eastAsia="宋体" w:cs="Times New Roman"/>
          <w:color w:val="auto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年韶山市面向高校毕业生公开引进事业单位急需紧缺专业人才岗位、计划及要求一览表</w:t>
      </w:r>
    </w:p>
    <w:tbl>
      <w:tblPr>
        <w:tblStyle w:val="8"/>
        <w:tblW w:w="136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110"/>
        <w:gridCol w:w="1680"/>
        <w:gridCol w:w="786"/>
        <w:gridCol w:w="800"/>
        <w:gridCol w:w="1267"/>
        <w:gridCol w:w="1266"/>
        <w:gridCol w:w="1400"/>
        <w:gridCol w:w="3717"/>
        <w:gridCol w:w="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tblHeader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部门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引进人数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最低学历要求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最低学位要求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要求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融媒体中心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新闻采集和编辑中心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记者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中国语言文学类、新闻传播学类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广播电视网络中心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业务综合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计算机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气工程类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、广播电视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发改局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价格事务中心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综合岗位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经济和管理学大类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司法局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公证处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业务综合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法学大类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取得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法律执业资格证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A证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财政局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国库集中支付核算中心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财务人员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财政、经济、贸易类，金融学类，会计学，会计硕士，审计硕士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人社局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社会保险服务中心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业务综合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工学大类、经济和管理学大类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自然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资源局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韶山中心所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业务综合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土建类、地矿类、测绘类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交通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运输局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公路养护中心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财务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会计学、会计硕士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综合岗位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工学大类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水利局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水利设施维护中心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业务综合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水力学及河流动力学、水工结构工程、水利水电工程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农业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农村局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蔬菜产销服务中心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业务综合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农学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大类、农林工程类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商务局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投资促进事务中心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业务综合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经济和管理学大类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、旅游管理、旅游管理硕士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文旅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广体局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文化馆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业务综合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艺术类、旅游管理、旅游管理硕士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审计局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审计事务中心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审计人员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财政、经济、贸易类，金融学类，会计学，会计硕士，审计硕士，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土建类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市场监督管理局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产品商品检验检测中心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综合岗位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法学类、工商管理类、公共管理类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食品与生物类、药学类、计算机类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、新闻传播学类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城管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执法局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园林环卫所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业务综合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风景园林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风景园林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硕士、城市规划与设计（含风景园林规划与设计）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信访局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信访服务中心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业务综合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法学大类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、公共管理类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业务综合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中国语言文学类、心理学类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行政审批服务局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政务服务中心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运维管理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计算机类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、电气工程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控制科学与工程类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市人民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旅游服务中心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综合岗位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旅游管理、旅游管理硕士、新闻传播学类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ODcyYWM1MTlkMzQzMmYxZDk2MDhmM2M0ZWZiZmQifQ=="/>
  </w:docVars>
  <w:rsids>
    <w:rsidRoot w:val="28A26742"/>
    <w:rsid w:val="28A26742"/>
    <w:rsid w:val="7F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next w:val="4"/>
    <w:qFormat/>
    <w:uiPriority w:val="0"/>
    <w:pPr>
      <w:widowControl w:val="0"/>
      <w:spacing w:after="120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 2"/>
    <w:qFormat/>
    <w:uiPriority w:val="99"/>
    <w:pPr>
      <w:widowControl w:val="0"/>
      <w:spacing w:line="500" w:lineRule="exact"/>
      <w:ind w:firstLine="564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next w:val="6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customStyle="1" w:styleId="6">
    <w:name w:val="索引 5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2024-04-25T16:49:00Z</dcterms:created>
  <dc:creator>鸿鹄翔空</dc:creator>
  <cp:lastModifiedBy>user</cp:lastModifiedBy>
  <dcterms:modified xsi:type="dcterms:W3CDTF">2024-04-25T17:16:28Z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26615AD1F9964A2F9020FF332446E057_11</vt:lpwstr>
  </property>
</Properties>
</file>